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31" w:type="dxa"/>
        <w:jc w:val="left"/>
        <w:tblInd w:w="0" w:type="dxa"/>
        <w:tblBorders>
          <w:top w:val="double" w:sz="4" w:space="0" w:color="4472C4"/>
          <w:left w:val="double" w:sz="4" w:space="0" w:color="4472C4"/>
          <w:bottom w:val="double" w:sz="4" w:space="0" w:color="4472C4"/>
          <w:right w:val="double" w:sz="4" w:space="0" w:color="4472C4"/>
          <w:insideH w:val="double" w:sz="4" w:space="0" w:color="4472C4"/>
          <w:insideV w:val="double" w:sz="4" w:space="0" w:color="4472C4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31"/>
      </w:tblGrid>
      <w:tr>
        <w:trPr/>
        <w:tc>
          <w:tcPr>
            <w:tcW w:w="10031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  <w:insideH w:val="double" w:sz="4" w:space="0" w:color="4472C4"/>
              <w:insideV w:val="double" w:sz="4" w:space="0" w:color="4472C4"/>
            </w:tcBorders>
            <w:shd w:color="auto" w:fill="D9D9D9" w:val="clear"/>
            <w:tcMar>
              <w:left w:w="83" w:type="dxa"/>
            </w:tcMar>
          </w:tcPr>
          <w:p>
            <w:pPr>
              <w:pStyle w:val="1"/>
              <w:spacing w:lineRule="auto" w:line="240" w:before="0"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Start w:id="1" w:name="n1279"/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ІНФОРМАЦІЯ </w:t>
            </w:r>
          </w:p>
          <w:p>
            <w:pPr>
              <w:pStyle w:val="1"/>
              <w:spacing w:lineRule="auto" w:line="240" w:before="0" w:after="0"/>
              <w:ind w:firstLine="567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щодо відсутності 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веб-сайті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документів</w:t>
            </w:r>
          </w:p>
          <w:p>
            <w:pPr>
              <w:pStyle w:val="Normal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</w:r>
          </w:p>
          <w:tbl>
            <w:tblPr>
              <w:tblW w:w="4900" w:type="pct"/>
              <w:jc w:val="left"/>
              <w:tblInd w:w="0" w:type="dxa"/>
              <w:tblBorders>
                <w:top w:val="threeDEngrave" w:sz="12" w:space="0" w:color="00000A"/>
                <w:left w:val="single" w:sz="6" w:space="0" w:color="000001"/>
                <w:bottom w:val="single" w:sz="6" w:space="0" w:color="000001"/>
                <w:right w:val="double" w:sz="4" w:space="0" w:color="000001"/>
                <w:insideH w:val="single" w:sz="6" w:space="0" w:color="000001"/>
                <w:insideV w:val="double" w:sz="4" w:space="0" w:color="000001"/>
              </w:tblBorders>
              <w:tblCellMar>
                <w:top w:w="0" w:type="dxa"/>
                <w:left w:w="-7" w:type="dxa"/>
                <w:bottom w:w="0" w:type="dxa"/>
                <w:right w:w="0" w:type="dxa"/>
              </w:tblCellMar>
              <w:tblLook w:firstRow="1" w:noVBand="1" w:lastRow="0" w:firstColumn="1" w:lastColumn="0" w:noHBand="0" w:val="04a0"/>
            </w:tblPr>
            <w:tblGrid>
              <w:gridCol w:w="4241"/>
              <w:gridCol w:w="5386"/>
            </w:tblGrid>
            <w:tr>
              <w:trPr>
                <w:trHeight w:val="60" w:hRule="atLeast"/>
              </w:trPr>
              <w:tc>
                <w:tcPr>
                  <w:tcW w:w="4241" w:type="dxa"/>
                  <w:tcBorders>
                    <w:top w:val="threeDEngrave" w:sz="12" w:space="0" w:color="00000A"/>
                    <w:left w:val="single" w:sz="6" w:space="0" w:color="000001"/>
                    <w:bottom w:val="single" w:sz="6" w:space="0" w:color="000001"/>
                    <w:right w:val="double" w:sz="4" w:space="0" w:color="000001"/>
                    <w:insideH w:val="single" w:sz="6" w:space="0" w:color="000001"/>
                    <w:insideV w:val="double" w:sz="4" w:space="0" w:color="000001"/>
                  </w:tcBorders>
                  <w:shd w:fill="auto" w:val="clear"/>
                  <w:tcMar>
                    <w:left w:w="-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128" w:right="235" w:hanging="0"/>
                    <w:rPr>
                      <w:rFonts w:ascii="Times New Roman" w:hAnsi="Times New Roman" w:eastAsia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Times New Roman" w:ascii="Times New Roman" w:hAnsi="Times New Roman"/>
                      <w:sz w:val="28"/>
                      <w:szCs w:val="28"/>
                      <w:lang w:eastAsia="uk-UA"/>
                    </w:rPr>
                    <w:t>Повне найменування Товариства</w:t>
                  </w:r>
                </w:p>
              </w:tc>
              <w:tc>
                <w:tcPr>
                  <w:tcW w:w="5386" w:type="dxa"/>
                  <w:tcBorders>
                    <w:top w:val="threeDEngrave" w:sz="12" w:space="0" w:color="00000A"/>
                    <w:left w:val="double" w:sz="4" w:space="0" w:color="000001"/>
                    <w:bottom w:val="single" w:sz="6" w:space="0" w:color="000001"/>
                    <w:right w:val="single" w:sz="6" w:space="0" w:color="000001"/>
                    <w:insideH w:val="single" w:sz="6" w:space="0" w:color="000001"/>
                    <w:insideV w:val="single" w:sz="6" w:space="0" w:color="000001"/>
                  </w:tcBorders>
                  <w:shd w:fill="auto" w:val="clear"/>
                  <w:tcMar>
                    <w:left w:w="-1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ind w:left="146" w:right="274" w:hanging="0"/>
                    <w:rPr/>
                  </w:pPr>
                  <w:r>
                    <w:rPr>
                      <w:rFonts w:eastAsia="Times New Roman" w:ascii="Times New Roman" w:hAnsi="Times New Roman"/>
                      <w:b/>
                      <w:sz w:val="28"/>
                      <w:szCs w:val="28"/>
                      <w:lang w:eastAsia="uk-UA"/>
                    </w:rPr>
                    <w:t>АКЦІОНЕРНЕ ТОВАРИСТВО "</w:t>
                  </w:r>
                  <w:r>
                    <w:rPr>
                      <w:rFonts w:eastAsia="Times New Roman" w:ascii="Times New Roman" w:hAnsi="Times New Roman"/>
                      <w:b/>
                      <w:sz w:val="28"/>
                      <w:szCs w:val="28"/>
                      <w:lang w:val="uk-UA" w:eastAsia="uk-UA"/>
                    </w:rPr>
                    <w:t>ПОКРОВСЬКИЙ ГІРНИЧО-ЗБАГАЧУВАЛЬНИЙ КОМБІНАТ</w:t>
                  </w:r>
                  <w:r>
                    <w:rPr>
                      <w:rFonts w:eastAsia="Times New Roman" w:ascii="Times New Roman" w:hAnsi="Times New Roman"/>
                      <w:b/>
                      <w:sz w:val="28"/>
                      <w:szCs w:val="28"/>
                      <w:lang w:eastAsia="uk-UA"/>
                    </w:rPr>
                    <w:t>"</w:t>
                  </w:r>
                </w:p>
              </w:tc>
            </w:tr>
            <w:tr>
              <w:trPr>
                <w:trHeight w:val="60" w:hRule="atLeast"/>
              </w:trPr>
              <w:tc>
                <w:tcPr>
                  <w:tcW w:w="424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double" w:sz="4" w:space="0" w:color="000001"/>
                    <w:insideH w:val="single" w:sz="6" w:space="0" w:color="000001"/>
                    <w:insideV w:val="double" w:sz="4" w:space="0" w:color="000001"/>
                  </w:tcBorders>
                  <w:shd w:fill="auto" w:val="clear"/>
                  <w:tcMar>
                    <w:left w:w="-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128" w:right="235" w:hanging="0"/>
                    <w:rPr>
                      <w:rFonts w:ascii="Times New Roman" w:hAnsi="Times New Roman" w:eastAsia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Times New Roman" w:ascii="Times New Roman" w:hAnsi="Times New Roman"/>
                      <w:sz w:val="28"/>
                      <w:szCs w:val="28"/>
                      <w:lang w:eastAsia="uk-UA"/>
                    </w:rPr>
                    <w:t>Ідентифікаційний код юридичної особи</w:t>
                  </w:r>
                </w:p>
              </w:tc>
              <w:tc>
                <w:tcPr>
                  <w:tcW w:w="5386" w:type="dxa"/>
                  <w:tcBorders>
                    <w:top w:val="single" w:sz="6" w:space="0" w:color="000001"/>
                    <w:left w:val="double" w:sz="4" w:space="0" w:color="000001"/>
                    <w:bottom w:val="single" w:sz="6" w:space="0" w:color="000001"/>
                    <w:right w:val="single" w:sz="6" w:space="0" w:color="000001"/>
                    <w:insideH w:val="single" w:sz="6" w:space="0" w:color="000001"/>
                    <w:insideV w:val="single" w:sz="6" w:space="0" w:color="000001"/>
                  </w:tcBorders>
                  <w:shd w:fill="auto" w:val="clear"/>
                  <w:tcMar>
                    <w:left w:w="-15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146" w:right="274" w:hanging="0"/>
                    <w:rPr>
                      <w:lang w:val="uk-UA"/>
                    </w:rPr>
                  </w:pPr>
                  <w:r>
                    <w:rPr>
                      <w:rFonts w:eastAsia="Times New Roman" w:ascii="Times New Roman" w:hAnsi="Times New Roman"/>
                      <w:sz w:val="28"/>
                      <w:szCs w:val="28"/>
                      <w:lang w:val="uk-UA" w:eastAsia="uk-UA"/>
                    </w:rPr>
                    <w:t>00190928</w:t>
                  </w:r>
                </w:p>
              </w:tc>
            </w:tr>
            <w:tr>
              <w:trPr>
                <w:trHeight w:val="60" w:hRule="atLeast"/>
              </w:trPr>
              <w:tc>
                <w:tcPr>
                  <w:tcW w:w="424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double" w:sz="4" w:space="0" w:color="000001"/>
                    <w:insideH w:val="single" w:sz="6" w:space="0" w:color="000001"/>
                    <w:insideV w:val="double" w:sz="4" w:space="0" w:color="000001"/>
                  </w:tcBorders>
                  <w:shd w:fill="auto" w:val="clear"/>
                  <w:tcMar>
                    <w:left w:w="-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128" w:right="235" w:hanging="0"/>
                    <w:rPr>
                      <w:rFonts w:ascii="Times New Roman" w:hAnsi="Times New Roman" w:eastAsia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Times New Roman" w:ascii="Times New Roman" w:hAnsi="Times New Roman"/>
                      <w:sz w:val="28"/>
                      <w:szCs w:val="28"/>
                      <w:lang w:eastAsia="uk-UA"/>
                    </w:rPr>
                    <w:t>Адреса веб-сайту Товариства</w:t>
                  </w:r>
                </w:p>
              </w:tc>
              <w:tc>
                <w:tcPr>
                  <w:tcW w:w="5386" w:type="dxa"/>
                  <w:tcBorders>
                    <w:top w:val="single" w:sz="6" w:space="0" w:color="000001"/>
                    <w:left w:val="double" w:sz="4" w:space="0" w:color="000001"/>
                    <w:bottom w:val="single" w:sz="6" w:space="0" w:color="000001"/>
                    <w:right w:val="single" w:sz="6" w:space="0" w:color="000001"/>
                    <w:insideH w:val="single" w:sz="6" w:space="0" w:color="000001"/>
                    <w:insideV w:val="single" w:sz="6" w:space="0" w:color="000001"/>
                  </w:tcBorders>
                  <w:shd w:fill="auto" w:val="clear"/>
                  <w:tcMar>
                    <w:left w:w="-1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ind w:left="146" w:right="274" w:hanging="0"/>
                    <w:rPr/>
                  </w:pPr>
                  <w:r>
                    <w:rPr>
                      <w:rFonts w:eastAsia="Times New Roman" w:ascii="Times New Roman" w:hAnsi="Times New Roman"/>
                      <w:sz w:val="28"/>
                      <w:szCs w:val="28"/>
                      <w:lang w:val="ru-RU" w:eastAsia="uk-UA"/>
                    </w:rPr>
                    <w:t>https://pokrovgzk.com.ua</w:t>
                  </w:r>
                </w:p>
              </w:tc>
            </w:tr>
          </w:tbl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виконання вимог пункту 122 "Положення про розкриття інформації емітентами цінних паперів, а також особами, які надають забезпечення за такими цінними паперами", затвердженого рішенням НКЦПФР № 608 від 06.06.2023, повідомляємо про відсутність у Товариства документів, розміщення інформації про які передбачено на власному веб-сайті передбачено розділом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даного Положення і вимоги щодо обов'язкової наявності яких передбачені законом та цим Положенням: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tbl>
            <w:tblPr>
              <w:tblStyle w:val="a3"/>
              <w:tblW w:w="9805" w:type="dxa"/>
              <w:jc w:val="left"/>
              <w:tblInd w:w="0" w:type="dxa"/>
              <w:tblCellMar>
                <w:top w:w="0" w:type="dxa"/>
                <w:left w:w="9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722"/>
              <w:gridCol w:w="4678"/>
              <w:gridCol w:w="4405"/>
            </w:tblGrid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b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b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документ або інформація, </w:t>
                  </w:r>
                </w:p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b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які відсутні на власному веб-сайті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b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причина відсутності документів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Календарний план розміщення регулярної інформації.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 не є Емітентом, яке здійснило публічну пропозицію та/або цінні папери якого допущені до торгів на регульованому фондовому ринку.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Розкриття структури власності приватним акціонерним товариством, 100 відсотків акцій якого прямо або опосередковано належать одній особі.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 не належить прямо або опосередковано одні особі.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Розкриття інформації, що міститься в проспекті (інформації про випуск) цінних паперів та змінах до проспекту (інформації про випуск) цінних паперів. 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приймалось рішення про затвердження проспекту (інформації про випуск) цінних паперів та змін до нього.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Розміщення звіту про результати емісії цінних паперів.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приймалось рішення про затвердження звіту про результати емісії цінних паперів.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Засновницький (установчий) договір.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Засновницький (установчий) договір не укладався.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Внутрішні документи (положення) та зміни до них, які регулюють питання щодо: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організації контролю;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2" w:name="n634"/>
                  <w:bookmarkEnd w:id="2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управління ризиками;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3" w:name="n635"/>
                  <w:bookmarkEnd w:id="3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організації аудиту;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4" w:name="n636"/>
                  <w:bookmarkEnd w:id="4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управління конфліктом інтересів;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5" w:name="n637"/>
                  <w:bookmarkEnd w:id="5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порядку розгляду скарг;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color w:val="000000"/>
                    </w:rPr>
                  </w:pPr>
                  <w:bookmarkStart w:id="6" w:name="n639"/>
                  <w:bookmarkEnd w:id="6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політики різноманіття;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7" w:name="n640"/>
                  <w:bookmarkEnd w:id="7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сталого розвитку;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8" w:name="n641"/>
                  <w:bookmarkEnd w:id="8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винагород та призначень членів органів управління;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9" w:name="n642"/>
                  <w:bookmarkEnd w:id="9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дивідендної політики;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10" w:name="n643"/>
                  <w:bookmarkEnd w:id="10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розкриття інформації;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11" w:name="n644"/>
                  <w:bookmarkEnd w:id="11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запобігання корупції.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приймались рішення про затвердження внутрішніх документів (положення), які регулюють питання щодо: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організації контролю;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управління ризиками;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організації аудиту;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управління конфліктом інтересів;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порядку розгляду скарг;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політики різноманіття;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сталого розвитку;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винагород та призначень членів органів управління;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дивідендної політики;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розкриття інформації;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b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запобігання корупції.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Кодекс корпоративного управління товариства.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приймалось рішення про затвердження кодексу корпоративного управління.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Проспект(и) (зміни до проспекту(ів)) емісії цінних паперів, проспект(и) (зміни до проспекту(ів)) цінних паперів (інформація про випуск іпотечних сертифікатів - для емітентів іпотечних сертифікатів) або рішення про емісію цінних паперів (у разі їх публічної пропозиції) (у разі публічного розміщення цінних паперів).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Публічна пропозиція акцій Товариством не здійснювалась. Товариство не є емітентом іпотечних сертифікатів.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Свідоцтво(а) про реєстрацію випуску інших цінних паперів товариства (крім акцій).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 не здійснювало емісію та розміщення інших цінних паперів, крім простих іменних акцій.</w:t>
                  </w:r>
                </w:p>
              </w:tc>
            </w:tr>
            <w:tr>
              <w:trPr>
                <w:trHeight w:val="623" w:hRule="atLeast"/>
              </w:trPr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Повідомлення про можливість реалізації акціонерами переважного права.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Товариство не здійснювало в період з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2011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року додаткової емісії акцій.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Повідомлення про прийняте загальними зборами рішення про припинення акціонерного товариства.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приймалось рішення про припинення акціонерного товариства.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Повідомлення про прийняте рішення про дематеріалізацію цінних паперів (забезпечення існування цінних паперів в бездокументарній формі).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Усі акції товариства є іменними та існують виключно в електронній формі.</w:t>
                  </w:r>
                  <w:r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i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Звіт(и) адміністратора за випуском облігацій за результатами перевірки іпотечного покриття.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 не є емітентом іпотечних облігацій.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Кодекс етики, в тому числі звіти щодо впровадження і будь-які зміни до нього.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приймалось рішення про затвердження кодексу етики.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Корпоративний договір, стороною якого є держава, територіальна громада, державне або комунальне підприємство чи юридична особа, у статутному капіталі якої 25 і більше відсотків акцій прямо чи опосередковано належать державі або територіальній громаді.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укладався корпоративний договір, стороною якого є держава, територіальна громада, державне або комунальне підприємство чи юридична особа, у статутному капіталі якої 25 і більше відсотків акцій прямо чи опосередковано належать державі або територіальній громаді.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Розкриття інформації про придбання акцій акціонерного товариства за наслідками придбання контрольного пакета акцій, або значного контрольного пакета акцій, або домінуючого контрольного пакета акцій.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Придбання акцій акціонерного товариства за наслідками придбання контрольного пакета акцій, або значного контрольного пакета акцій, або домінуючого контрольного пакета акцій в Товаристві не відбувалось.</w:t>
                  </w:r>
                </w:p>
              </w:tc>
            </w:tr>
            <w:tr>
              <w:trPr/>
              <w:tc>
                <w:tcPr>
                  <w:tcW w:w="722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4678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Повідомлення про створення акціонерного товариства однією особою або про придбання однією особою усіх акцій товариства.</w:t>
                  </w:r>
                </w:p>
              </w:tc>
              <w:tc>
                <w:tcPr>
                  <w:tcW w:w="4405" w:type="dxa"/>
                  <w:tcBorders/>
                  <w:shd w:fill="auto" w:val="clear"/>
                  <w:tcMar>
                    <w:left w:w="98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 не створювалось однією особою, усі акції Товариства не придбавались однією особою.</w:t>
                  </w:r>
                </w:p>
              </w:tc>
            </w:tr>
          </w:tbl>
          <w:p>
            <w:pPr>
              <w:pStyle w:val="Normal"/>
              <w:widowControl w:val="false"/>
              <w:tabs>
                <w:tab w:val="left" w:pos="993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993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417" w:right="566" w:header="708" w:top="993" w:footer="0" w:bottom="113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TimesNewRomanPSM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314679340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Style22"/>
      <w:spacing w:lineRule="auto" w:line="240" w:before="0" w:after="0"/>
      <w:jc w:val="right"/>
      <w:rPr>
        <w:b/>
        <w:b/>
      </w:rPr>
    </w:pPr>
    <w:r>
      <w:rPr>
        <w:b/>
      </w:rPr>
    </w:r>
  </w:p>
</w:hdr>
</file>

<file path=word/settings.xml><?xml version="1.0" encoding="utf-8"?>
<w:settings xmlns:w="http://schemas.openxmlformats.org/wordprocessingml/2006/main">
  <w:zoom w:percent="157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uk-UA" w:eastAsia="uk-UA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uk-UA" w:eastAsia="en-US" w:bidi="ar-SA"/>
    </w:rPr>
  </w:style>
  <w:style w:type="paragraph" w:styleId="1">
    <w:name w:val="Heading 1"/>
    <w:basedOn w:val="Normal"/>
    <w:link w:val="10"/>
    <w:uiPriority w:val="9"/>
    <w:qFormat/>
    <w:rsid w:val="009e4a33"/>
    <w:pPr>
      <w:keepNext/>
      <w:spacing w:before="240" w:after="60"/>
      <w:outlineLvl w:val="0"/>
    </w:pPr>
    <w:rPr>
      <w:rFonts w:ascii="Calibri Light" w:hAnsi="Calibri Light" w:eastAsia="Times New Roman"/>
      <w:b/>
      <w:bCs/>
      <w:sz w:val="32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3">
    <w:name w:val="Выделение"/>
    <w:uiPriority w:val="20"/>
    <w:qFormat/>
    <w:rsid w:val="005f44b7"/>
    <w:rPr>
      <w:i/>
      <w:iCs/>
    </w:rPr>
  </w:style>
  <w:style w:type="character" w:styleId="Style14" w:customStyle="1">
    <w:name w:val="Текст выноски Знак"/>
    <w:link w:val="a7"/>
    <w:uiPriority w:val="99"/>
    <w:semiHidden/>
    <w:qFormat/>
    <w:rsid w:val="00a03e14"/>
    <w:rPr>
      <w:rFonts w:ascii="Segoe UI" w:hAnsi="Segoe UI" w:cs="Segoe UI"/>
      <w:sz w:val="18"/>
      <w:szCs w:val="18"/>
      <w:lang w:eastAsia="en-US"/>
    </w:rPr>
  </w:style>
  <w:style w:type="character" w:styleId="Style15" w:customStyle="1">
    <w:name w:val="Верхний колонтитул Знак"/>
    <w:link w:val="a9"/>
    <w:uiPriority w:val="99"/>
    <w:qFormat/>
    <w:rsid w:val="009e4a33"/>
    <w:rPr>
      <w:sz w:val="22"/>
      <w:szCs w:val="22"/>
      <w:lang w:eastAsia="en-US"/>
    </w:rPr>
  </w:style>
  <w:style w:type="character" w:styleId="Style16" w:customStyle="1">
    <w:name w:val="Нижний колонтитул Знак"/>
    <w:link w:val="ab"/>
    <w:uiPriority w:val="99"/>
    <w:qFormat/>
    <w:rsid w:val="009e4a33"/>
    <w:rPr>
      <w:sz w:val="22"/>
      <w:szCs w:val="22"/>
      <w:lang w:eastAsia="en-US"/>
    </w:rPr>
  </w:style>
  <w:style w:type="character" w:styleId="11" w:customStyle="1">
    <w:name w:val="Заголовок 1 Знак"/>
    <w:link w:val="1"/>
    <w:uiPriority w:val="9"/>
    <w:qFormat/>
    <w:rsid w:val="009e4a33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character" w:styleId="Fontstyle01" w:customStyle="1">
    <w:name w:val="fontstyle01"/>
    <w:qFormat/>
    <w:rsid w:val="006953df"/>
    <w:rPr>
      <w:rFonts w:ascii="TimesNewRomanPSMT" w:hAnsi="TimesNewRomanPSMT"/>
      <w:b w:val="false"/>
      <w:bCs w:val="false"/>
      <w:i w:val="false"/>
      <w:iCs w:val="false"/>
      <w:color w:val="000000"/>
      <w:sz w:val="36"/>
      <w:szCs w:val="36"/>
    </w:rPr>
  </w:style>
  <w:style w:type="character" w:styleId="ListLabel1">
    <w:name w:val="ListLabel 1"/>
    <w:qFormat/>
    <w:rPr>
      <w:rFonts w:eastAsia="Calibri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5f44b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5f44b7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a03e1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Header"/>
    <w:basedOn w:val="Normal"/>
    <w:link w:val="aa"/>
    <w:uiPriority w:val="99"/>
    <w:unhideWhenUsed/>
    <w:rsid w:val="009e4a33"/>
    <w:pPr>
      <w:tabs>
        <w:tab w:val="center" w:pos="4819" w:leader="none"/>
        <w:tab w:val="right" w:pos="9639" w:leader="none"/>
      </w:tabs>
    </w:pPr>
    <w:rPr/>
  </w:style>
  <w:style w:type="paragraph" w:styleId="Style23">
    <w:name w:val="Footer"/>
    <w:basedOn w:val="Normal"/>
    <w:link w:val="ac"/>
    <w:uiPriority w:val="99"/>
    <w:unhideWhenUsed/>
    <w:rsid w:val="009e4a33"/>
    <w:pPr>
      <w:tabs>
        <w:tab w:val="center" w:pos="4819" w:leader="none"/>
        <w:tab w:val="right" w:pos="9639" w:leader="none"/>
      </w:tabs>
    </w:pPr>
    <w:rPr/>
  </w:style>
  <w:style w:type="paragraph" w:styleId="Xmsonormal" w:customStyle="1">
    <w:name w:val="x_msonormal"/>
    <w:basedOn w:val="Normal"/>
    <w:qFormat/>
    <w:rsid w:val="001b62d4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uk-UA"/>
    </w:rPr>
  </w:style>
  <w:style w:type="paragraph" w:styleId="Rvps2" w:customStyle="1">
    <w:name w:val="rvps2"/>
    <w:basedOn w:val="Normal"/>
    <w:qFormat/>
    <w:rsid w:val="0041557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07ae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LibreOffice/5.4.1.2$Windows_X86_64 LibreOffice_project/ea7cb86e6eeb2bf3a5af73a8f7777ac570321527</Application>
  <Pages>3</Pages>
  <Words>653</Words>
  <Characters>4549</Characters>
  <CharactersWithSpaces>5119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2024-05-30T12:38:00Z</dcterms:created>
  <dc:creator>.</dc:creator>
  <dc:description/>
  <dc:language>ru-RU</dc:language>
  <cp:lastModifiedBy/>
  <cp:lastPrinted>2024-05-30T12:37:00Z</cp:lastPrinted>
  <dcterms:modified xsi:type="dcterms:W3CDTF">2024-08-28T11:45:42Z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